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CC" w:rsidRPr="005368CC" w:rsidRDefault="005368CC" w:rsidP="005368CC">
      <w:pPr>
        <w:rPr>
          <w:rFonts w:ascii="黑体" w:eastAsia="黑体"/>
          <w:color w:val="000000"/>
          <w:sz w:val="32"/>
          <w:szCs w:val="32"/>
        </w:rPr>
      </w:pPr>
      <w:r w:rsidRPr="005368CC">
        <w:rPr>
          <w:rFonts w:ascii="黑体" w:eastAsia="黑体" w:hint="eastAsia"/>
          <w:color w:val="000000"/>
          <w:sz w:val="32"/>
          <w:szCs w:val="32"/>
        </w:rPr>
        <w:t>附件1</w:t>
      </w:r>
    </w:p>
    <w:p w:rsidR="005368CC" w:rsidRPr="005368CC" w:rsidRDefault="005368CC" w:rsidP="005368CC">
      <w:pPr>
        <w:spacing w:line="580" w:lineRule="exact"/>
        <w:jc w:val="center"/>
        <w:rPr>
          <w:rFonts w:eastAsia="方正小标宋简体"/>
          <w:color w:val="000000"/>
          <w:spacing w:val="-8"/>
          <w:sz w:val="44"/>
          <w:szCs w:val="52"/>
        </w:rPr>
      </w:pPr>
    </w:p>
    <w:p w:rsidR="005368CC" w:rsidRPr="005368CC" w:rsidRDefault="005368CC" w:rsidP="005368CC">
      <w:pPr>
        <w:spacing w:line="580" w:lineRule="exact"/>
        <w:jc w:val="center"/>
        <w:rPr>
          <w:rFonts w:eastAsia="方正小标宋简体"/>
          <w:color w:val="000000"/>
          <w:spacing w:val="-8"/>
          <w:sz w:val="44"/>
          <w:szCs w:val="52"/>
        </w:rPr>
      </w:pPr>
      <w:r w:rsidRPr="005368CC">
        <w:rPr>
          <w:rFonts w:eastAsia="方正小标宋简体"/>
          <w:color w:val="000000"/>
          <w:spacing w:val="-8"/>
          <w:sz w:val="44"/>
          <w:szCs w:val="52"/>
        </w:rPr>
        <w:t>仿制药质量和疗效一致性评价工作中</w:t>
      </w:r>
    </w:p>
    <w:p w:rsidR="005368CC" w:rsidRPr="005368CC" w:rsidRDefault="005368CC" w:rsidP="005368CC">
      <w:pPr>
        <w:spacing w:line="580" w:lineRule="exact"/>
        <w:jc w:val="center"/>
        <w:rPr>
          <w:rFonts w:eastAsia="方正小标宋简体"/>
          <w:color w:val="000000"/>
          <w:spacing w:val="-8"/>
          <w:sz w:val="44"/>
          <w:szCs w:val="52"/>
        </w:rPr>
      </w:pPr>
      <w:r w:rsidRPr="005368CC">
        <w:rPr>
          <w:rFonts w:eastAsia="方正小标宋简体"/>
          <w:color w:val="000000"/>
          <w:spacing w:val="-8"/>
          <w:sz w:val="44"/>
          <w:szCs w:val="52"/>
        </w:rPr>
        <w:t>改规格药品（口服固体制剂）评价的一般考虑</w:t>
      </w:r>
    </w:p>
    <w:p w:rsidR="005368CC" w:rsidRPr="005368CC" w:rsidRDefault="005368CC" w:rsidP="005368CC">
      <w:pPr>
        <w:spacing w:line="520" w:lineRule="exact"/>
        <w:ind w:firstLineChars="200" w:firstLine="560"/>
        <w:rPr>
          <w:rFonts w:eastAsia="仿宋_GB2312"/>
          <w:color w:val="000000"/>
          <w:sz w:val="28"/>
          <w:szCs w:val="28"/>
        </w:rPr>
      </w:pPr>
    </w:p>
    <w:p w:rsidR="005368CC" w:rsidRPr="005368CC" w:rsidRDefault="005368CC" w:rsidP="005368CC">
      <w:pPr>
        <w:spacing w:line="600" w:lineRule="exact"/>
        <w:ind w:firstLineChars="200" w:firstLine="640"/>
        <w:rPr>
          <w:rFonts w:eastAsia="仿宋_GB2312"/>
          <w:color w:val="000000"/>
          <w:sz w:val="32"/>
          <w:szCs w:val="32"/>
        </w:rPr>
      </w:pPr>
      <w:r w:rsidRPr="005368CC">
        <w:rPr>
          <w:rFonts w:eastAsia="仿宋_GB2312"/>
          <w:color w:val="000000"/>
          <w:sz w:val="32"/>
          <w:szCs w:val="32"/>
        </w:rPr>
        <w:t>为贯彻《国务院关于改革药品医疗器械审评审批制度的意见》（国发〔</w:t>
      </w:r>
      <w:r w:rsidRPr="005368CC">
        <w:rPr>
          <w:rFonts w:eastAsia="仿宋_GB2312"/>
          <w:color w:val="000000"/>
          <w:sz w:val="32"/>
          <w:szCs w:val="32"/>
        </w:rPr>
        <w:t>2015</w:t>
      </w:r>
      <w:r w:rsidRPr="005368CC">
        <w:rPr>
          <w:rFonts w:eastAsia="仿宋_GB2312"/>
          <w:color w:val="000000"/>
          <w:sz w:val="32"/>
          <w:szCs w:val="32"/>
        </w:rPr>
        <w:t>〕</w:t>
      </w:r>
      <w:r w:rsidRPr="005368CC">
        <w:rPr>
          <w:rFonts w:eastAsia="仿宋_GB2312"/>
          <w:color w:val="000000"/>
          <w:sz w:val="32"/>
          <w:szCs w:val="32"/>
        </w:rPr>
        <w:t>44</w:t>
      </w:r>
      <w:r w:rsidRPr="005368CC">
        <w:rPr>
          <w:rFonts w:eastAsia="仿宋_GB2312"/>
          <w:color w:val="000000"/>
          <w:sz w:val="32"/>
          <w:szCs w:val="32"/>
        </w:rPr>
        <w:t>号）和《国务院办公厅关于开展仿制药质量和疗效一致性评价的意见》（国办发〔</w:t>
      </w:r>
      <w:r w:rsidRPr="005368CC">
        <w:rPr>
          <w:rFonts w:eastAsia="仿宋_GB2312"/>
          <w:color w:val="000000"/>
          <w:sz w:val="32"/>
          <w:szCs w:val="32"/>
        </w:rPr>
        <w:t>2016</w:t>
      </w:r>
      <w:r w:rsidRPr="005368CC">
        <w:rPr>
          <w:rFonts w:eastAsia="仿宋_GB2312"/>
          <w:color w:val="000000"/>
          <w:sz w:val="32"/>
          <w:szCs w:val="32"/>
        </w:rPr>
        <w:t>〕</w:t>
      </w:r>
      <w:r w:rsidRPr="005368CC">
        <w:rPr>
          <w:rFonts w:eastAsia="仿宋_GB2312"/>
          <w:color w:val="000000"/>
          <w:sz w:val="32"/>
          <w:szCs w:val="32"/>
        </w:rPr>
        <w:t>8</w:t>
      </w:r>
      <w:r w:rsidRPr="005368CC">
        <w:rPr>
          <w:rFonts w:eastAsia="仿宋_GB2312"/>
          <w:color w:val="000000"/>
          <w:sz w:val="32"/>
          <w:szCs w:val="32"/>
        </w:rPr>
        <w:t>号）的精神，国家食品药品监督管理总局发布了《关于落实〈国务院办公厅关于开展仿制药质量和疗效一致性评价的意见〉有关事项的公告》（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106</w:t>
      </w:r>
      <w:r w:rsidRPr="005368CC">
        <w:rPr>
          <w:rFonts w:eastAsia="仿宋_GB2312"/>
          <w:color w:val="000000"/>
          <w:sz w:val="32"/>
          <w:szCs w:val="32"/>
        </w:rPr>
        <w:t>号）和《普通口服固体制剂参比制剂选择和确定指导原则》（</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61</w:t>
      </w:r>
      <w:r w:rsidRPr="005368CC">
        <w:rPr>
          <w:rFonts w:eastAsia="仿宋_GB2312"/>
          <w:color w:val="000000"/>
          <w:sz w:val="32"/>
          <w:szCs w:val="32"/>
        </w:rPr>
        <w:t>号通告）等多个技术指导原则，本文是上述指导原则的补充文件。</w:t>
      </w:r>
    </w:p>
    <w:p w:rsidR="005368CC" w:rsidRPr="005368CC" w:rsidRDefault="005368CC" w:rsidP="005368CC">
      <w:pPr>
        <w:spacing w:line="600" w:lineRule="exact"/>
        <w:ind w:firstLineChars="200" w:firstLine="640"/>
        <w:rPr>
          <w:rFonts w:eastAsia="仿宋_GB2312"/>
          <w:color w:val="000000"/>
          <w:sz w:val="32"/>
          <w:szCs w:val="32"/>
        </w:rPr>
      </w:pPr>
      <w:r w:rsidRPr="005368CC">
        <w:rPr>
          <w:rFonts w:eastAsia="仿宋_GB2312"/>
          <w:color w:val="000000"/>
          <w:sz w:val="32"/>
          <w:szCs w:val="32"/>
        </w:rPr>
        <w:t>改规格药品系指该规格在美国、欧盟或日本均未获准上市，或无法确定同规格参比制剂的药品。</w:t>
      </w:r>
    </w:p>
    <w:p w:rsidR="005368CC" w:rsidRPr="005368CC" w:rsidRDefault="005368CC" w:rsidP="005368CC">
      <w:pPr>
        <w:spacing w:line="600" w:lineRule="exact"/>
        <w:ind w:firstLineChars="200" w:firstLine="640"/>
        <w:rPr>
          <w:rFonts w:eastAsia="仿宋_GB2312"/>
          <w:color w:val="000000"/>
          <w:sz w:val="32"/>
          <w:szCs w:val="32"/>
        </w:rPr>
      </w:pPr>
      <w:r w:rsidRPr="005368CC">
        <w:rPr>
          <w:rFonts w:eastAsia="仿宋_GB2312"/>
          <w:color w:val="000000"/>
          <w:sz w:val="32"/>
          <w:szCs w:val="32"/>
        </w:rPr>
        <w:t>本文件适用于仿制药质量和疗效一致性评价工作中口服固体制剂改规格药品的评价。评价工作包括但不限于本文件中描述的内容。</w:t>
      </w:r>
    </w:p>
    <w:p w:rsidR="005368CC" w:rsidRPr="005368CC" w:rsidRDefault="005368CC" w:rsidP="005368CC">
      <w:pPr>
        <w:spacing w:line="60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一、概述</w:t>
      </w:r>
    </w:p>
    <w:p w:rsidR="005368CC" w:rsidRPr="005368CC" w:rsidRDefault="005368CC" w:rsidP="005368CC">
      <w:pPr>
        <w:spacing w:line="600" w:lineRule="exact"/>
        <w:ind w:firstLineChars="200" w:firstLine="640"/>
        <w:rPr>
          <w:rFonts w:eastAsia="仿宋_GB2312"/>
          <w:color w:val="000000"/>
          <w:sz w:val="32"/>
          <w:szCs w:val="32"/>
        </w:rPr>
      </w:pPr>
      <w:r w:rsidRPr="005368CC">
        <w:rPr>
          <w:rFonts w:eastAsia="仿宋_GB2312"/>
          <w:color w:val="000000"/>
          <w:sz w:val="32"/>
          <w:szCs w:val="32"/>
        </w:rPr>
        <w:t>我国已批准上市的药品中存在部分改规格产品，对这部分产品的再评价是仿制药质量和疗效一致性评价的重要组成部分。药</w:t>
      </w:r>
      <w:r w:rsidRPr="005368CC">
        <w:rPr>
          <w:rFonts w:eastAsia="仿宋_GB2312"/>
          <w:color w:val="000000"/>
          <w:sz w:val="32"/>
          <w:szCs w:val="32"/>
        </w:rPr>
        <w:lastRenderedPageBreak/>
        <w:t>品的规格及用法用量依据上市前临床试验确定，因此增加规格一般应依据原研药说明书的用法用量来确定。为加强对药品规格的管理，防止不合理药品规格给临床用药带来混乱，原国家食品药品监督管理局发布了《关于加强药品规格和包装规格管理的通知》（食药监注函〔</w:t>
      </w:r>
      <w:r w:rsidRPr="005368CC">
        <w:rPr>
          <w:rFonts w:eastAsia="仿宋_GB2312"/>
          <w:color w:val="000000"/>
          <w:sz w:val="32"/>
          <w:szCs w:val="32"/>
        </w:rPr>
        <w:t>2004</w:t>
      </w:r>
      <w:r w:rsidRPr="005368CC">
        <w:rPr>
          <w:rFonts w:eastAsia="仿宋_GB2312"/>
          <w:color w:val="000000"/>
          <w:sz w:val="32"/>
          <w:szCs w:val="32"/>
        </w:rPr>
        <w:t>〕</w:t>
      </w:r>
      <w:r w:rsidRPr="005368CC">
        <w:rPr>
          <w:rFonts w:eastAsia="仿宋_GB2312"/>
          <w:color w:val="000000"/>
          <w:sz w:val="32"/>
          <w:szCs w:val="32"/>
        </w:rPr>
        <w:t>91</w:t>
      </w:r>
      <w:r w:rsidRPr="005368CC">
        <w:rPr>
          <w:rFonts w:eastAsia="仿宋_GB2312"/>
          <w:color w:val="000000"/>
          <w:sz w:val="32"/>
          <w:szCs w:val="32"/>
        </w:rPr>
        <w:t>号），对增加药品规格的补充申请进一步提出严格要求，申请增加的规格不得改变原用法用量或者适用人群。改规格药品的评价包括药学和临床试验等方面内容。</w:t>
      </w:r>
    </w:p>
    <w:p w:rsidR="005368CC" w:rsidRPr="005368CC" w:rsidRDefault="005368CC" w:rsidP="005368CC">
      <w:pPr>
        <w:spacing w:line="60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二、评价内容</w:t>
      </w:r>
    </w:p>
    <w:p w:rsidR="005368CC" w:rsidRPr="005368CC" w:rsidRDefault="005368CC" w:rsidP="005368CC">
      <w:pPr>
        <w:spacing w:line="600" w:lineRule="exact"/>
        <w:ind w:firstLineChars="200" w:firstLine="640"/>
        <w:rPr>
          <w:rFonts w:ascii="楷体_GB2312" w:eastAsia="楷体_GB2312"/>
          <w:color w:val="000000"/>
          <w:sz w:val="32"/>
          <w:szCs w:val="32"/>
        </w:rPr>
      </w:pPr>
      <w:r w:rsidRPr="005368CC">
        <w:rPr>
          <w:rFonts w:ascii="楷体_GB2312" w:eastAsia="楷体_GB2312" w:hint="eastAsia"/>
          <w:color w:val="000000"/>
          <w:sz w:val="32"/>
          <w:szCs w:val="32"/>
        </w:rPr>
        <w:t>（一）</w:t>
      </w:r>
      <w:r w:rsidRPr="005368CC">
        <w:rPr>
          <w:rFonts w:ascii="楷体_GB2312" w:eastAsia="楷体_GB2312" w:hint="eastAsia"/>
          <w:color w:val="000000"/>
          <w:kern w:val="0"/>
          <w:sz w:val="32"/>
          <w:szCs w:val="32"/>
        </w:rPr>
        <w:t>改规格的科学性和合理性</w:t>
      </w:r>
    </w:p>
    <w:p w:rsidR="005368CC" w:rsidRPr="005368CC" w:rsidRDefault="005368CC" w:rsidP="005368CC">
      <w:pPr>
        <w:spacing w:line="600" w:lineRule="exact"/>
        <w:ind w:firstLineChars="200" w:firstLine="640"/>
        <w:rPr>
          <w:rFonts w:eastAsia="仿宋_GB2312"/>
          <w:color w:val="000000"/>
          <w:sz w:val="32"/>
          <w:szCs w:val="32"/>
        </w:rPr>
      </w:pPr>
      <w:r w:rsidRPr="005368CC">
        <w:rPr>
          <w:rFonts w:eastAsia="仿宋_GB2312"/>
          <w:color w:val="000000"/>
          <w:sz w:val="32"/>
          <w:szCs w:val="32"/>
        </w:rPr>
        <w:t>改规格药品首先应结合原研药品规格的上市情况，充分论证改规格的科学性、合理性和必要性。</w:t>
      </w:r>
    </w:p>
    <w:p w:rsidR="005368CC" w:rsidRPr="005368CC" w:rsidRDefault="005368CC" w:rsidP="005368CC">
      <w:pPr>
        <w:spacing w:line="600" w:lineRule="exact"/>
        <w:ind w:firstLineChars="200" w:firstLine="640"/>
        <w:rPr>
          <w:rFonts w:eastAsia="仿宋_GB2312"/>
          <w:color w:val="000000"/>
          <w:sz w:val="32"/>
          <w:szCs w:val="32"/>
        </w:rPr>
      </w:pPr>
      <w:r w:rsidRPr="005368CC">
        <w:rPr>
          <w:rFonts w:eastAsia="仿宋_GB2312"/>
          <w:color w:val="000000"/>
          <w:sz w:val="32"/>
          <w:szCs w:val="32"/>
        </w:rPr>
        <w:t>药品规格的变更应在其使用说明书规定的用量范围内，在适应症相同的情况下，不得改变药品原批准的用法用量或适用人群，其规格一般不得小于单次最小给药剂量，也不得大于单次最大给药剂量。</w:t>
      </w:r>
    </w:p>
    <w:p w:rsidR="005368CC" w:rsidRPr="005368CC" w:rsidRDefault="005368CC" w:rsidP="005368CC">
      <w:pPr>
        <w:spacing w:line="600" w:lineRule="exact"/>
        <w:ind w:firstLineChars="200" w:firstLine="640"/>
        <w:rPr>
          <w:rFonts w:ascii="楷体_GB2312" w:eastAsia="楷体_GB2312"/>
          <w:color w:val="000000"/>
          <w:sz w:val="32"/>
          <w:szCs w:val="32"/>
        </w:rPr>
      </w:pPr>
      <w:r w:rsidRPr="005368CC">
        <w:rPr>
          <w:rFonts w:ascii="楷体_GB2312" w:eastAsia="楷体_GB2312"/>
          <w:color w:val="000000"/>
          <w:sz w:val="32"/>
          <w:szCs w:val="32"/>
        </w:rPr>
        <w:t>（二）药学评价</w:t>
      </w:r>
    </w:p>
    <w:p w:rsidR="005368CC" w:rsidRPr="005368CC" w:rsidRDefault="005368CC" w:rsidP="005368CC">
      <w:pPr>
        <w:spacing w:line="600" w:lineRule="exact"/>
        <w:ind w:firstLineChars="200" w:firstLine="640"/>
        <w:rPr>
          <w:rFonts w:eastAsia="仿宋_GB2312"/>
          <w:color w:val="000000"/>
          <w:sz w:val="32"/>
          <w:szCs w:val="32"/>
        </w:rPr>
      </w:pPr>
      <w:r w:rsidRPr="005368CC">
        <w:rPr>
          <w:rFonts w:eastAsia="仿宋_GB2312"/>
          <w:color w:val="000000"/>
          <w:sz w:val="32"/>
          <w:szCs w:val="32"/>
        </w:rPr>
        <w:t>以该品种原规格参比制剂（以下简称参比制剂）为对照，系统进行药学对比研究，如生产企业同时拥有已通过一致性评价的与参比制剂相同的产品，亦应进行对比研究，并对上述制剂质量的异同与优劣进行评价。研究内容主要包括以下几个方面：</w:t>
      </w:r>
    </w:p>
    <w:p w:rsidR="005368CC" w:rsidRPr="005368CC" w:rsidRDefault="005368CC" w:rsidP="005368CC">
      <w:pPr>
        <w:spacing w:line="580" w:lineRule="exact"/>
        <w:ind w:firstLineChars="200" w:firstLine="640"/>
        <w:rPr>
          <w:rFonts w:eastAsia="仿宋_GB2312"/>
          <w:color w:val="000000"/>
          <w:sz w:val="32"/>
          <w:szCs w:val="32"/>
        </w:rPr>
      </w:pPr>
      <w:r w:rsidRPr="005368CC">
        <w:rPr>
          <w:rFonts w:eastAsia="仿宋_GB2312"/>
          <w:color w:val="000000"/>
          <w:sz w:val="32"/>
          <w:szCs w:val="32"/>
        </w:rPr>
        <w:t>1.</w:t>
      </w:r>
      <w:r w:rsidRPr="005368CC">
        <w:rPr>
          <w:rFonts w:eastAsia="仿宋_GB2312"/>
          <w:color w:val="000000"/>
          <w:sz w:val="32"/>
          <w:szCs w:val="32"/>
        </w:rPr>
        <w:t>处方筛选与工艺优化：对照参比制剂与所改规格的要求，</w:t>
      </w:r>
      <w:r w:rsidRPr="005368CC">
        <w:rPr>
          <w:rFonts w:eastAsia="仿宋_GB2312"/>
          <w:color w:val="000000"/>
          <w:sz w:val="32"/>
          <w:szCs w:val="32"/>
        </w:rPr>
        <w:lastRenderedPageBreak/>
        <w:t>分析检测制剂原料与辅料的关键理化特性，进行处方筛选、生产工艺优化，包装材料选择与验证。</w:t>
      </w:r>
    </w:p>
    <w:p w:rsidR="005368CC" w:rsidRPr="005368CC" w:rsidRDefault="005368CC" w:rsidP="005368CC">
      <w:pPr>
        <w:spacing w:line="580" w:lineRule="exact"/>
        <w:ind w:firstLineChars="200" w:firstLine="640"/>
        <w:rPr>
          <w:rFonts w:eastAsia="仿宋_GB2312"/>
          <w:color w:val="000000"/>
          <w:sz w:val="32"/>
          <w:szCs w:val="32"/>
        </w:rPr>
      </w:pPr>
      <w:r w:rsidRPr="005368CC">
        <w:rPr>
          <w:rFonts w:eastAsia="仿宋_GB2312"/>
          <w:color w:val="000000"/>
          <w:sz w:val="32"/>
          <w:szCs w:val="32"/>
        </w:rPr>
        <w:t>2.</w:t>
      </w:r>
      <w:r w:rsidRPr="005368CC">
        <w:rPr>
          <w:rFonts w:eastAsia="仿宋_GB2312"/>
          <w:color w:val="000000"/>
          <w:sz w:val="32"/>
          <w:szCs w:val="32"/>
        </w:rPr>
        <w:t>质量控制：系统分析比较改规格产品与参比制剂质量差异，重点关注：药物在多介质中的溶出曲线；杂质谱与杂质含量，如有新增杂质应进行结构确证、杂质定量测定与毒性水平研究；反映剂型特点的其他关键项目。</w:t>
      </w:r>
    </w:p>
    <w:p w:rsidR="005368CC" w:rsidRPr="005368CC" w:rsidRDefault="005368CC" w:rsidP="005368CC">
      <w:pPr>
        <w:spacing w:line="580" w:lineRule="exact"/>
        <w:ind w:firstLineChars="200" w:firstLine="640"/>
        <w:rPr>
          <w:rFonts w:eastAsia="仿宋_GB2312"/>
          <w:color w:val="000000"/>
          <w:sz w:val="32"/>
          <w:szCs w:val="32"/>
        </w:rPr>
      </w:pPr>
      <w:r w:rsidRPr="005368CC">
        <w:rPr>
          <w:rFonts w:eastAsia="仿宋_GB2312"/>
          <w:color w:val="000000"/>
          <w:sz w:val="32"/>
          <w:szCs w:val="32"/>
        </w:rPr>
        <w:t>3.</w:t>
      </w:r>
      <w:r w:rsidRPr="005368CC">
        <w:rPr>
          <w:rFonts w:eastAsia="仿宋_GB2312"/>
          <w:color w:val="000000"/>
          <w:sz w:val="32"/>
          <w:szCs w:val="32"/>
        </w:rPr>
        <w:t>稳定性试验：重点关注性状、溶出曲线、有关物质、含量等项目。</w:t>
      </w:r>
    </w:p>
    <w:p w:rsidR="005368CC" w:rsidRPr="005368CC" w:rsidRDefault="005368CC" w:rsidP="005368CC">
      <w:pPr>
        <w:spacing w:line="580" w:lineRule="exact"/>
        <w:ind w:firstLineChars="200" w:firstLine="640"/>
        <w:rPr>
          <w:rFonts w:ascii="楷体_GB2312" w:eastAsia="楷体_GB2312"/>
          <w:color w:val="000000"/>
          <w:sz w:val="32"/>
          <w:szCs w:val="32"/>
        </w:rPr>
      </w:pPr>
      <w:r w:rsidRPr="005368CC">
        <w:rPr>
          <w:rFonts w:ascii="楷体_GB2312" w:eastAsia="楷体_GB2312"/>
          <w:color w:val="000000"/>
          <w:sz w:val="32"/>
          <w:szCs w:val="32"/>
        </w:rPr>
        <w:t>（三）生物等效性试验或临床试验</w:t>
      </w:r>
    </w:p>
    <w:p w:rsidR="005368CC" w:rsidRPr="005368CC" w:rsidRDefault="005368CC" w:rsidP="005368CC">
      <w:pPr>
        <w:spacing w:line="580" w:lineRule="exact"/>
        <w:ind w:firstLineChars="200" w:firstLine="640"/>
        <w:rPr>
          <w:rFonts w:eastAsia="仿宋_GB2312"/>
          <w:color w:val="000000"/>
          <w:sz w:val="32"/>
          <w:szCs w:val="32"/>
        </w:rPr>
      </w:pPr>
      <w:r w:rsidRPr="005368CC">
        <w:rPr>
          <w:rFonts w:eastAsia="仿宋_GB2312"/>
          <w:color w:val="000000"/>
          <w:sz w:val="32"/>
          <w:szCs w:val="32"/>
        </w:rPr>
        <w:t>如果改规格药品和参比制剂适应症和用法用量相同，且在治疗剂量范围内，建议以改规格药品和参比制剂以相同剂量给药（单次给药剂量不超过最大给药剂量），进行生物等效性试验。</w:t>
      </w:r>
    </w:p>
    <w:p w:rsidR="005368CC" w:rsidRPr="005368CC" w:rsidRDefault="005368CC" w:rsidP="005368CC">
      <w:pPr>
        <w:spacing w:line="580" w:lineRule="exact"/>
        <w:ind w:firstLineChars="200" w:firstLine="640"/>
        <w:rPr>
          <w:rFonts w:eastAsia="仿宋_GB2312"/>
          <w:color w:val="000000"/>
          <w:sz w:val="32"/>
          <w:szCs w:val="32"/>
        </w:rPr>
      </w:pPr>
      <w:r w:rsidRPr="005368CC">
        <w:rPr>
          <w:rFonts w:eastAsia="仿宋_GB2312"/>
          <w:color w:val="000000"/>
          <w:sz w:val="32"/>
          <w:szCs w:val="32"/>
        </w:rPr>
        <w:t>不满足上述条件的，建议进行临床试验。</w:t>
      </w:r>
    </w:p>
    <w:p w:rsidR="005368CC" w:rsidRPr="005368CC" w:rsidRDefault="005368CC" w:rsidP="005368CC">
      <w:pPr>
        <w:spacing w:line="58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三、其他</w:t>
      </w:r>
    </w:p>
    <w:p w:rsidR="005368CC" w:rsidRPr="005368CC" w:rsidRDefault="005368CC" w:rsidP="005368CC">
      <w:pPr>
        <w:spacing w:line="580" w:lineRule="exact"/>
        <w:ind w:firstLineChars="200" w:firstLine="640"/>
        <w:rPr>
          <w:rFonts w:eastAsia="仿宋_GB2312"/>
          <w:color w:val="000000"/>
          <w:sz w:val="32"/>
          <w:szCs w:val="32"/>
        </w:rPr>
      </w:pPr>
      <w:r w:rsidRPr="005368CC">
        <w:rPr>
          <w:rFonts w:eastAsia="仿宋_GB2312"/>
          <w:color w:val="000000"/>
          <w:sz w:val="32"/>
          <w:szCs w:val="32"/>
        </w:rPr>
        <w:t>其他未尽事宜请参照国家食品药品监督管理总局《关于发布化学药品新注册分类申报资料要求（试行）的通告》（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80</w:t>
      </w:r>
      <w:r w:rsidRPr="005368CC">
        <w:rPr>
          <w:rFonts w:eastAsia="仿宋_GB2312"/>
          <w:color w:val="000000"/>
          <w:sz w:val="32"/>
          <w:szCs w:val="32"/>
        </w:rPr>
        <w:t>号）、《关于发布化学药品仿制药口服固体制剂质量和疗效一致性评价申报资料要求（试行）的通告》（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120</w:t>
      </w:r>
      <w:r w:rsidRPr="005368CC">
        <w:rPr>
          <w:rFonts w:eastAsia="仿宋_GB2312"/>
          <w:color w:val="000000"/>
          <w:sz w:val="32"/>
          <w:szCs w:val="32"/>
        </w:rPr>
        <w:t>号）、《以药动学参数为终点评价指标的化学药物仿制药人体生物等效性研究技术指导原则》（</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61</w:t>
      </w:r>
      <w:r w:rsidRPr="005368CC">
        <w:rPr>
          <w:rFonts w:eastAsia="仿宋_GB2312"/>
          <w:color w:val="000000"/>
          <w:sz w:val="32"/>
          <w:szCs w:val="32"/>
        </w:rPr>
        <w:t>号通告）和《仿制药质量和疗效一致性评价临床有效性试验一般考虑》（</w:t>
      </w:r>
      <w:r w:rsidRPr="005368CC">
        <w:rPr>
          <w:rFonts w:eastAsia="仿宋_GB2312"/>
          <w:color w:val="000000"/>
          <w:sz w:val="32"/>
          <w:szCs w:val="32"/>
        </w:rPr>
        <w:t>2017</w:t>
      </w:r>
      <w:r w:rsidRPr="005368CC">
        <w:rPr>
          <w:rFonts w:eastAsia="仿宋_GB2312"/>
          <w:color w:val="000000"/>
          <w:sz w:val="32"/>
          <w:szCs w:val="32"/>
        </w:rPr>
        <w:t>年第</w:t>
      </w:r>
      <w:r w:rsidRPr="005368CC">
        <w:rPr>
          <w:rFonts w:eastAsia="仿宋_GB2312"/>
          <w:color w:val="000000"/>
          <w:sz w:val="32"/>
          <w:szCs w:val="32"/>
        </w:rPr>
        <w:t>18</w:t>
      </w:r>
      <w:r w:rsidRPr="005368CC">
        <w:rPr>
          <w:rFonts w:eastAsia="仿宋_GB2312"/>
          <w:color w:val="000000"/>
          <w:sz w:val="32"/>
          <w:szCs w:val="32"/>
        </w:rPr>
        <w:t>号通告）等有关文件进行。</w:t>
      </w:r>
    </w:p>
    <w:sectPr w:rsidR="005368CC" w:rsidRPr="005368CC" w:rsidSect="00AB2821">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69" w:rsidRDefault="00B70E69" w:rsidP="005368CC">
      <w:r>
        <w:separator/>
      </w:r>
    </w:p>
  </w:endnote>
  <w:endnote w:type="continuationSeparator" w:id="1">
    <w:p w:rsidR="00B70E69" w:rsidRDefault="00B70E69" w:rsidP="00536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25" w:rsidRPr="00AB2821" w:rsidRDefault="006A3982">
    <w:pPr>
      <w:pStyle w:val="a4"/>
      <w:rPr>
        <w:sz w:val="28"/>
        <w:szCs w:val="28"/>
      </w:rPr>
    </w:pPr>
    <w:r w:rsidRPr="00AB2821">
      <w:rPr>
        <w:rFonts w:hint="eastAsia"/>
        <w:color w:val="FFFFFF"/>
        <w:sz w:val="28"/>
        <w:szCs w:val="28"/>
      </w:rPr>
      <w:t>—</w:t>
    </w:r>
    <w:r w:rsidRPr="00AB2821">
      <w:rPr>
        <w:rFonts w:hint="eastAsia"/>
        <w:sz w:val="28"/>
        <w:szCs w:val="28"/>
      </w:rPr>
      <w:t>—</w:t>
    </w:r>
    <w:r w:rsidR="006E7C00" w:rsidRPr="00AB2821">
      <w:rPr>
        <w:sz w:val="28"/>
        <w:szCs w:val="28"/>
      </w:rPr>
      <w:fldChar w:fldCharType="begin"/>
    </w:r>
    <w:r w:rsidRPr="00AB2821">
      <w:rPr>
        <w:sz w:val="28"/>
        <w:szCs w:val="28"/>
      </w:rPr>
      <w:instrText>PAGE   \* MERGEFORMAT</w:instrText>
    </w:r>
    <w:r w:rsidR="006E7C00" w:rsidRPr="00AB2821">
      <w:rPr>
        <w:sz w:val="28"/>
        <w:szCs w:val="28"/>
      </w:rPr>
      <w:fldChar w:fldCharType="separate"/>
    </w:r>
    <w:r w:rsidRPr="0024751C">
      <w:rPr>
        <w:noProof/>
        <w:sz w:val="28"/>
        <w:szCs w:val="28"/>
        <w:lang w:val="zh-CN"/>
      </w:rPr>
      <w:t>2</w:t>
    </w:r>
    <w:r w:rsidR="006E7C00" w:rsidRPr="00AB2821">
      <w:rPr>
        <w:sz w:val="28"/>
        <w:szCs w:val="28"/>
      </w:rPr>
      <w:fldChar w:fldCharType="end"/>
    </w:r>
    <w:r w:rsidRPr="00AB2821">
      <w:rPr>
        <w:rFonts w:hint="eastAsia"/>
        <w:sz w:val="28"/>
        <w:szCs w:val="28"/>
      </w:rPr>
      <w:t>—</w:t>
    </w:r>
  </w:p>
  <w:p w:rsidR="00A73EB3" w:rsidRDefault="00B70E69"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25" w:rsidRPr="00AB2821" w:rsidRDefault="006A3982" w:rsidP="00AB2821">
    <w:pPr>
      <w:pStyle w:val="a4"/>
      <w:wordWrap w:val="0"/>
      <w:jc w:val="right"/>
      <w:rPr>
        <w:sz w:val="28"/>
        <w:szCs w:val="28"/>
      </w:rPr>
    </w:pPr>
    <w:r w:rsidRPr="00AB2821">
      <w:rPr>
        <w:rFonts w:hint="eastAsia"/>
        <w:sz w:val="28"/>
        <w:szCs w:val="28"/>
      </w:rPr>
      <w:t>—</w:t>
    </w:r>
    <w:r w:rsidR="006E7C00" w:rsidRPr="00AB2821">
      <w:rPr>
        <w:sz w:val="28"/>
        <w:szCs w:val="28"/>
      </w:rPr>
      <w:fldChar w:fldCharType="begin"/>
    </w:r>
    <w:r w:rsidRPr="00AB2821">
      <w:rPr>
        <w:sz w:val="28"/>
        <w:szCs w:val="28"/>
      </w:rPr>
      <w:instrText>PAGE   \* MERGEFORMAT</w:instrText>
    </w:r>
    <w:r w:rsidR="006E7C00" w:rsidRPr="00AB2821">
      <w:rPr>
        <w:sz w:val="28"/>
        <w:szCs w:val="28"/>
      </w:rPr>
      <w:fldChar w:fldCharType="separate"/>
    </w:r>
    <w:r w:rsidR="00463482" w:rsidRPr="00463482">
      <w:rPr>
        <w:noProof/>
        <w:sz w:val="28"/>
        <w:szCs w:val="28"/>
        <w:lang w:val="zh-CN"/>
      </w:rPr>
      <w:t>3</w:t>
    </w:r>
    <w:r w:rsidR="006E7C00" w:rsidRPr="00AB2821">
      <w:rPr>
        <w:sz w:val="28"/>
        <w:szCs w:val="28"/>
      </w:rPr>
      <w:fldChar w:fldCharType="end"/>
    </w:r>
    <w:r w:rsidRPr="00AB2821">
      <w:rPr>
        <w:rFonts w:hint="eastAsia"/>
        <w:sz w:val="28"/>
        <w:szCs w:val="28"/>
      </w:rPr>
      <w:t>—</w:t>
    </w:r>
    <w:r w:rsidRPr="00AB2821">
      <w:rPr>
        <w:rFonts w:hint="eastAsia"/>
        <w:color w:val="FFFFFF"/>
        <w:sz w:val="28"/>
        <w:szCs w:val="28"/>
      </w:rPr>
      <w:t>—</w:t>
    </w:r>
  </w:p>
  <w:p w:rsidR="00A73EB3" w:rsidRPr="00AB2821" w:rsidRDefault="00B70E69" w:rsidP="00AB2821">
    <w:pPr>
      <w:pStyle w:val="a4"/>
      <w:wordWrap w:val="0"/>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69" w:rsidRDefault="00B70E69" w:rsidP="005368CC">
      <w:r>
        <w:separator/>
      </w:r>
    </w:p>
  </w:footnote>
  <w:footnote w:type="continuationSeparator" w:id="1">
    <w:p w:rsidR="00B70E69" w:rsidRDefault="00B70E69" w:rsidP="00536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368"/>
    <w:rsid w:val="003C66B1"/>
    <w:rsid w:val="00463482"/>
    <w:rsid w:val="005368CC"/>
    <w:rsid w:val="006A3982"/>
    <w:rsid w:val="006E7C00"/>
    <w:rsid w:val="00794368"/>
    <w:rsid w:val="00B70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8CC"/>
    <w:rPr>
      <w:sz w:val="18"/>
      <w:szCs w:val="18"/>
    </w:rPr>
  </w:style>
  <w:style w:type="paragraph" w:styleId="a4">
    <w:name w:val="footer"/>
    <w:basedOn w:val="a"/>
    <w:link w:val="Char0"/>
    <w:uiPriority w:val="99"/>
    <w:unhideWhenUsed/>
    <w:rsid w:val="00536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8CC"/>
    <w:rPr>
      <w:sz w:val="18"/>
      <w:szCs w:val="18"/>
    </w:rPr>
  </w:style>
  <w:style w:type="paragraph" w:styleId="a5">
    <w:name w:val="Balloon Text"/>
    <w:basedOn w:val="a"/>
    <w:link w:val="Char1"/>
    <w:uiPriority w:val="99"/>
    <w:semiHidden/>
    <w:unhideWhenUsed/>
    <w:rsid w:val="005368CC"/>
    <w:rPr>
      <w:sz w:val="18"/>
      <w:szCs w:val="18"/>
    </w:rPr>
  </w:style>
  <w:style w:type="character" w:customStyle="1" w:styleId="Char1">
    <w:name w:val="批注框文本 Char"/>
    <w:basedOn w:val="a0"/>
    <w:link w:val="a5"/>
    <w:uiPriority w:val="99"/>
    <w:semiHidden/>
    <w:rsid w:val="005368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8CC"/>
    <w:rPr>
      <w:sz w:val="18"/>
      <w:szCs w:val="18"/>
    </w:rPr>
  </w:style>
  <w:style w:type="paragraph" w:styleId="a4">
    <w:name w:val="footer"/>
    <w:basedOn w:val="a"/>
    <w:link w:val="Char0"/>
    <w:uiPriority w:val="99"/>
    <w:unhideWhenUsed/>
    <w:rsid w:val="00536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8CC"/>
    <w:rPr>
      <w:sz w:val="18"/>
      <w:szCs w:val="18"/>
    </w:rPr>
  </w:style>
  <w:style w:type="paragraph" w:styleId="a5">
    <w:name w:val="Balloon Text"/>
    <w:basedOn w:val="a"/>
    <w:link w:val="Char1"/>
    <w:uiPriority w:val="99"/>
    <w:semiHidden/>
    <w:unhideWhenUsed/>
    <w:rsid w:val="005368CC"/>
    <w:rPr>
      <w:sz w:val="18"/>
      <w:szCs w:val="18"/>
    </w:rPr>
  </w:style>
  <w:style w:type="character" w:customStyle="1" w:styleId="Char1">
    <w:name w:val="批注框文本 Char"/>
    <w:basedOn w:val="a0"/>
    <w:link w:val="a5"/>
    <w:uiPriority w:val="99"/>
    <w:semiHidden/>
    <w:rsid w:val="005368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213</Words>
  <Characters>1216</Characters>
  <Application>Microsoft Office Word</Application>
  <DocSecurity>0</DocSecurity>
  <Lines>10</Lines>
  <Paragraphs>2</Paragraphs>
  <ScaleCrop>false</ScaleCrop>
  <Company>CFDA</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2017-02-17T02:56:00Z</dcterms:created>
  <dcterms:modified xsi:type="dcterms:W3CDTF">2017-02-17T02:56:00Z</dcterms:modified>
</cp:coreProperties>
</file>